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jc w:val="center"/>
        <w:rPr>
          <w:rFonts w:ascii="Arial" w:cs="Arial" w:hAnsi="Arial" w:eastAsia="Arial"/>
          <w:b w:val="1"/>
          <w:bCs w:val="1"/>
          <w:sz w:val="26"/>
          <w:szCs w:val="26"/>
          <w:u w:val="single"/>
        </w:rPr>
      </w:pPr>
      <w:r>
        <w:rPr>
          <w:rFonts w:ascii="Arial" w:hAnsi="Arial"/>
          <w:b w:val="1"/>
          <w:bCs w:val="1"/>
          <w:sz w:val="26"/>
          <w:szCs w:val="26"/>
          <w:u w:val="single"/>
          <w:rtl w:val="0"/>
          <w:lang w:val="en-US"/>
        </w:rPr>
        <w:t>The Christian and the Law of Moses</w:t>
      </w:r>
    </w:p>
    <w:p>
      <w:pPr>
        <w:pStyle w:val="Body"/>
        <w:jc w:val="center"/>
        <w:rPr>
          <w:rFonts w:ascii="Arial" w:cs="Arial" w:hAnsi="Arial" w:eastAsia="Arial"/>
          <w:sz w:val="20"/>
          <w:szCs w:val="20"/>
        </w:rPr>
      </w:pPr>
      <w:r>
        <w:rPr>
          <w:rFonts w:ascii="Arial" w:hAnsi="Arial"/>
          <w:sz w:val="20"/>
          <w:szCs w:val="20"/>
          <w:rtl w:val="0"/>
          <w:lang w:val="en-US"/>
        </w:rPr>
        <w:t>Michael L. Riddle</w:t>
      </w:r>
    </w:p>
    <w:p>
      <w:pPr>
        <w:pStyle w:val="Body"/>
        <w:jc w:val="center"/>
        <w:rPr>
          <w:rFonts w:ascii="Arial" w:cs="Arial" w:hAnsi="Arial" w:eastAsia="Arial"/>
          <w:sz w:val="24"/>
          <w:szCs w:val="24"/>
        </w:rPr>
      </w:pPr>
    </w:p>
    <w:p>
      <w:pPr>
        <w:pStyle w:val="Body"/>
        <w:jc w:val="left"/>
        <w:rPr>
          <w:rFonts w:ascii="Arial" w:cs="Arial" w:hAnsi="Arial" w:eastAsia="Arial"/>
          <w:sz w:val="24"/>
          <w:szCs w:val="24"/>
        </w:rPr>
      </w:pPr>
      <w:r>
        <w:rPr>
          <w:rFonts w:ascii="Arial" w:hAnsi="Arial"/>
          <w:sz w:val="24"/>
          <w:szCs w:val="24"/>
          <w:rtl w:val="0"/>
          <w:lang w:val="en-US"/>
        </w:rPr>
        <w:t xml:space="preserve">Since the beginning of the church, there have been those who suggest Christians ought to keep parts of the old testament law. Even outside of the </w:t>
      </w:r>
      <w:r>
        <w:rPr>
          <w:rFonts w:ascii="Arial" w:hAnsi="Arial" w:hint="default"/>
          <w:sz w:val="24"/>
          <w:szCs w:val="24"/>
          <w:rtl w:val="0"/>
          <w:lang w:val="en-US"/>
        </w:rPr>
        <w:t>“</w:t>
      </w:r>
      <w:r>
        <w:rPr>
          <w:rFonts w:ascii="Arial" w:hAnsi="Arial"/>
          <w:sz w:val="24"/>
          <w:szCs w:val="24"/>
          <w:rtl w:val="0"/>
          <w:lang w:val="en-US"/>
        </w:rPr>
        <w:t>7th Day Adventist</w:t>
      </w:r>
      <w:r>
        <w:rPr>
          <w:rFonts w:ascii="Arial" w:hAnsi="Arial" w:hint="default"/>
          <w:sz w:val="24"/>
          <w:szCs w:val="24"/>
          <w:rtl w:val="0"/>
          <w:lang w:val="en-US"/>
        </w:rPr>
        <w:t xml:space="preserve">” </w:t>
      </w:r>
      <w:r>
        <w:rPr>
          <w:rFonts w:ascii="Arial" w:hAnsi="Arial"/>
          <w:sz w:val="24"/>
          <w:szCs w:val="24"/>
          <w:rtl w:val="0"/>
          <w:lang w:val="en-US"/>
        </w:rPr>
        <w:t>group today, there are many religious groups who teach that Christians are required to keep the Sabbath, or some of the feast days. Many seek their authority for instrumental music or other religious practices from the Old Testament. On the other end of the spectrum, we have those who suggest that since the Old Testament has been done away with, we shouldn</w:t>
      </w:r>
      <w:r>
        <w:rPr>
          <w:rFonts w:ascii="Arial" w:hAnsi="Arial" w:hint="default"/>
          <w:sz w:val="24"/>
          <w:szCs w:val="24"/>
          <w:rtl w:val="0"/>
          <w:lang w:val="en-US"/>
        </w:rPr>
        <w:t>’</w:t>
      </w:r>
      <w:r>
        <w:rPr>
          <w:rFonts w:ascii="Arial" w:hAnsi="Arial"/>
          <w:sz w:val="24"/>
          <w:szCs w:val="24"/>
          <w:rtl w:val="0"/>
          <w:lang w:val="en-US"/>
        </w:rPr>
        <w:t>t spend our time reading and studying it. So what does God</w:t>
      </w:r>
      <w:r>
        <w:rPr>
          <w:rFonts w:ascii="Arial" w:hAnsi="Arial" w:hint="default"/>
          <w:sz w:val="24"/>
          <w:szCs w:val="24"/>
          <w:rtl w:val="0"/>
          <w:lang w:val="en-US"/>
        </w:rPr>
        <w:t>’</w:t>
      </w:r>
      <w:r>
        <w:rPr>
          <w:rFonts w:ascii="Arial" w:hAnsi="Arial"/>
          <w:sz w:val="24"/>
          <w:szCs w:val="24"/>
          <w:rtl w:val="0"/>
          <w:lang w:val="en-US"/>
        </w:rPr>
        <w:t xml:space="preserve">s word tell us should be the relationship between the Christian and the Law of Moses? </w:t>
      </w:r>
    </w:p>
    <w:p>
      <w:pPr>
        <w:pStyle w:val="Body"/>
        <w:jc w:val="left"/>
        <w:rPr>
          <w:rFonts w:ascii="Arial" w:cs="Arial" w:hAnsi="Arial" w:eastAsia="Arial"/>
          <w:sz w:val="24"/>
          <w:szCs w:val="24"/>
        </w:rPr>
      </w:pPr>
    </w:p>
    <w:p>
      <w:pPr>
        <w:pStyle w:val="Body"/>
        <w:numPr>
          <w:ilvl w:val="0"/>
          <w:numId w:val="2"/>
        </w:numPr>
        <w:jc w:val="left"/>
        <w:rPr>
          <w:rFonts w:ascii="Arial" w:hAnsi="Arial"/>
          <w:sz w:val="24"/>
          <w:szCs w:val="24"/>
          <w:lang w:val="en-US"/>
        </w:rPr>
      </w:pPr>
      <w:r>
        <w:rPr>
          <w:rFonts w:ascii="Arial" w:hAnsi="Arial"/>
          <w:b w:val="1"/>
          <w:bCs w:val="1"/>
          <w:sz w:val="24"/>
          <w:szCs w:val="24"/>
          <w:rtl w:val="0"/>
          <w:lang w:val="en-US"/>
        </w:rPr>
        <w:t>The Old Law Was Completed and Taken Away</w:t>
      </w:r>
    </w:p>
    <w:p>
      <w:pPr>
        <w:pStyle w:val="Body"/>
        <w:numPr>
          <w:ilvl w:val="1"/>
          <w:numId w:val="2"/>
        </w:numPr>
        <w:jc w:val="left"/>
        <w:rPr>
          <w:rFonts w:ascii="Arial" w:hAnsi="Arial"/>
          <w:sz w:val="24"/>
          <w:szCs w:val="24"/>
          <w:lang w:val="en-US"/>
        </w:rPr>
      </w:pPr>
      <w:r>
        <w:rPr>
          <w:rFonts w:ascii="Arial" w:hAnsi="Arial"/>
          <w:b w:val="1"/>
          <w:bCs w:val="1"/>
          <w:sz w:val="24"/>
          <w:szCs w:val="24"/>
          <w:rtl w:val="0"/>
          <w:lang w:val="en-US"/>
        </w:rPr>
        <w:t>Galatians 3:15-25</w:t>
      </w:r>
    </w:p>
    <w:p>
      <w:pPr>
        <w:pStyle w:val="Body"/>
        <w:numPr>
          <w:ilvl w:val="2"/>
          <w:numId w:val="2"/>
        </w:numPr>
        <w:jc w:val="left"/>
        <w:rPr>
          <w:rFonts w:ascii="Arial" w:hAnsi="Arial"/>
          <w:sz w:val="24"/>
          <w:szCs w:val="24"/>
          <w:lang w:val="en-US"/>
        </w:rPr>
      </w:pPr>
      <w:r>
        <w:rPr>
          <w:rFonts w:ascii="Arial" w:hAnsi="Arial"/>
          <w:sz w:val="24"/>
          <w:szCs w:val="24"/>
          <w:rtl w:val="0"/>
          <w:lang w:val="en-US"/>
        </w:rPr>
        <w:t>Was the seed promise a part of the law?</w:t>
      </w:r>
      <w:r>
        <w:rPr>
          <w:rFonts w:ascii="Arial" w:cs="Arial" w:hAnsi="Arial" w:eastAsia="Arial"/>
          <w:sz w:val="24"/>
          <w:szCs w:val="24"/>
          <w:rtl w:val="0"/>
        </w:rPr>
        <w:br w:type="textWrapping"/>
        <w:br w:type="textWrapping"/>
        <w:t xml:space="preserve"> </w:t>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Why was the law given?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Did the Law change the promises made? </w:t>
      </w:r>
      <w:r>
        <w:rPr>
          <w:rFonts w:ascii="Arial" w:cs="Arial" w:hAnsi="Arial" w:eastAsia="Arial"/>
          <w:sz w:val="24"/>
          <w:szCs w:val="24"/>
        </w:rPr>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What purpose did the law serve? Has that been accomplished yet? </w:t>
      </w:r>
      <w:r>
        <w:rPr>
          <w:rFonts w:ascii="Arial" w:cs="Arial" w:hAnsi="Arial" w:eastAsia="Arial"/>
          <w:sz w:val="24"/>
          <w:szCs w:val="24"/>
        </w:rPr>
        <w:br w:type="textWrapping"/>
        <w:br w:type="textWrapping"/>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What does Jesus confirm He was doing in relation to the law (</w:t>
      </w:r>
      <w:r>
        <w:rPr>
          <w:rFonts w:ascii="Arial" w:hAnsi="Arial"/>
          <w:b w:val="1"/>
          <w:bCs w:val="1"/>
          <w:sz w:val="24"/>
          <w:szCs w:val="24"/>
          <w:rtl w:val="0"/>
          <w:lang w:val="en-US"/>
        </w:rPr>
        <w:t>Mt. 5:17-18</w:t>
      </w:r>
      <w:r>
        <w:rPr>
          <w:rFonts w:ascii="Arial" w:hAnsi="Arial"/>
          <w:sz w:val="24"/>
          <w:szCs w:val="24"/>
          <w:rtl w:val="0"/>
          <w:lang w:val="en-US"/>
        </w:rPr>
        <w:t>)?</w:t>
      </w:r>
      <w:r>
        <w:rPr>
          <w:rFonts w:ascii="Arial" w:cs="Arial" w:hAnsi="Arial" w:eastAsia="Arial"/>
          <w:sz w:val="24"/>
          <w:szCs w:val="24"/>
        </w:rPr>
        <w:br w:type="textWrapping"/>
      </w:r>
    </w:p>
    <w:p>
      <w:pPr>
        <w:pStyle w:val="Body"/>
        <w:numPr>
          <w:ilvl w:val="1"/>
          <w:numId w:val="2"/>
        </w:numPr>
        <w:jc w:val="left"/>
        <w:rPr>
          <w:rFonts w:ascii="Arial" w:hAnsi="Arial"/>
          <w:sz w:val="24"/>
          <w:szCs w:val="24"/>
          <w:lang w:val="en-US"/>
        </w:rPr>
      </w:pPr>
      <w:r>
        <w:rPr>
          <w:rFonts w:ascii="Arial" w:hAnsi="Arial"/>
          <w:b w:val="1"/>
          <w:bCs w:val="1"/>
          <w:sz w:val="24"/>
          <w:szCs w:val="24"/>
          <w:rtl w:val="0"/>
          <w:lang w:val="en-US"/>
        </w:rPr>
        <w:t>Col. 2:11-17</w:t>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What did Christ wipe out?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What did Christ nail to the cross?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What law had to do with food and drink, festivals, new moons, Sabbaths which were a shadow of things to come? </w:t>
      </w:r>
      <w:r>
        <w:rPr>
          <w:rFonts w:ascii="Arial" w:cs="Arial" w:hAnsi="Arial" w:eastAsia="Arial"/>
          <w:sz w:val="24"/>
          <w:szCs w:val="24"/>
        </w:rPr>
        <w:br w:type="textWrapping"/>
        <w:br w:type="textWrapping"/>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How does Paul describe this in </w:t>
      </w:r>
      <w:r>
        <w:rPr>
          <w:rFonts w:ascii="Arial" w:hAnsi="Arial"/>
          <w:b w:val="1"/>
          <w:bCs w:val="1"/>
          <w:sz w:val="24"/>
          <w:szCs w:val="24"/>
          <w:rtl w:val="0"/>
          <w:lang w:val="en-US"/>
        </w:rPr>
        <w:t>Ephesians 2:14-18</w:t>
      </w:r>
      <w:r>
        <w:rPr>
          <w:rFonts w:ascii="Arial" w:hAnsi="Arial"/>
          <w:sz w:val="24"/>
          <w:szCs w:val="24"/>
          <w:rtl w:val="0"/>
          <w:lang w:val="en-US"/>
        </w:rPr>
        <w:t xml:space="preserve">? </w:t>
      </w:r>
      <w:r>
        <w:rPr>
          <w:rFonts w:ascii="Arial" w:cs="Arial" w:hAnsi="Arial" w:eastAsia="Arial"/>
          <w:sz w:val="24"/>
          <w:szCs w:val="24"/>
        </w:rPr>
        <w:br w:type="textWrapping"/>
        <w:br w:type="textWrapping"/>
        <w:br w:type="textWrapping"/>
        <w:br w:type="textWrapping"/>
        <w:br w:type="textWrapping"/>
        <w:br w:type="textWrapping"/>
      </w:r>
    </w:p>
    <w:p>
      <w:pPr>
        <w:pStyle w:val="Body"/>
        <w:numPr>
          <w:ilvl w:val="1"/>
          <w:numId w:val="2"/>
        </w:numPr>
        <w:jc w:val="left"/>
        <w:rPr>
          <w:rFonts w:ascii="Arial" w:hAnsi="Arial"/>
          <w:sz w:val="24"/>
          <w:szCs w:val="24"/>
          <w:lang w:val="en-US"/>
        </w:rPr>
      </w:pPr>
      <w:r>
        <w:rPr>
          <w:rFonts w:ascii="Arial" w:hAnsi="Arial"/>
          <w:b w:val="1"/>
          <w:bCs w:val="1"/>
          <w:sz w:val="24"/>
          <w:szCs w:val="24"/>
          <w:rtl w:val="0"/>
          <w:lang w:val="en-US"/>
        </w:rPr>
        <w:t>2 Cor. 3:6-18</w:t>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Note the distinctions made between the Old and the New Covenant. </w:t>
      </w:r>
    </w:p>
    <w:tbl>
      <w:tblPr>
        <w:tblW w:w="9350" w:type="dxa"/>
        <w:jc w:val="left"/>
        <w:tblInd w:w="108" w:type="dxa"/>
        <w:tblBorders>
          <w:top w:val="single" w:color="929292" w:sz="4" w:space="0" w:shadow="0" w:frame="0"/>
          <w:left w:val="single" w:color="929292" w:sz="4" w:space="0" w:shadow="0" w:frame="0"/>
          <w:bottom w:val="single" w:color="929292" w:sz="4" w:space="0" w:shadow="0" w:frame="0"/>
          <w:right w:val="single" w:color="929292" w:sz="4" w:space="0" w:shadow="0" w:frame="0"/>
          <w:insideH w:val="single" w:color="929292" w:sz="4" w:space="0" w:shadow="0" w:frame="0"/>
          <w:insideV w:val="single" w:color="929292" w:sz="4" w:space="0" w:shadow="0" w:frame="0"/>
        </w:tblBorders>
        <w:shd w:val="clear" w:color="auto" w:fill="auto"/>
        <w:tblLayout w:type="fixed"/>
      </w:tblPr>
      <w:tblGrid>
        <w:gridCol w:w="4675"/>
        <w:gridCol w:w="4675"/>
      </w:tblGrid>
      <w:tr>
        <w:tblPrEx>
          <w:shd w:val="clear" w:color="auto" w:fill="auto"/>
        </w:tblPrEx>
        <w:trPr>
          <w:trHeight w:val="294" w:hRule="atLeast"/>
        </w:trPr>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auto"/>
            <w:tcMar>
              <w:top w:type="dxa" w:w="80"/>
              <w:left w:type="dxa" w:w="80"/>
              <w:bottom w:type="dxa" w:w="80"/>
              <w:right w:type="dxa" w:w="80"/>
            </w:tcMar>
            <w:vAlign w:val="top"/>
          </w:tcPr>
          <w:p>
            <w:pPr>
              <w:pStyle w:val="Table Style 2"/>
              <w:jc w:val="center"/>
            </w:pPr>
            <w:r>
              <w:rPr>
                <w:rFonts w:ascii="Helvetica Neue" w:hAnsi="Helvetica Neue"/>
                <w:b w:val="1"/>
                <w:bCs w:val="1"/>
                <w:u w:val="single"/>
                <w:rtl w:val="0"/>
              </w:rPr>
              <w:t>Old</w:t>
            </w:r>
          </w:p>
        </w:tc>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auto"/>
            <w:tcMar>
              <w:top w:type="dxa" w:w="80"/>
              <w:left w:type="dxa" w:w="80"/>
              <w:bottom w:type="dxa" w:w="80"/>
              <w:right w:type="dxa" w:w="80"/>
            </w:tcMar>
            <w:vAlign w:val="top"/>
          </w:tcPr>
          <w:p>
            <w:pPr>
              <w:pStyle w:val="Table Style 2"/>
              <w:jc w:val="center"/>
            </w:pPr>
            <w:r>
              <w:rPr>
                <w:rFonts w:ascii="Helvetica Neue" w:hAnsi="Helvetica Neue"/>
                <w:b w:val="1"/>
                <w:bCs w:val="1"/>
                <w:u w:val="single"/>
                <w:rtl w:val="0"/>
              </w:rPr>
              <w:t>New</w:t>
            </w:r>
          </w:p>
        </w:tc>
      </w:tr>
      <w:tr>
        <w:tblPrEx>
          <w:shd w:val="clear" w:color="auto" w:fill="auto"/>
        </w:tblPrEx>
        <w:trPr>
          <w:trHeight w:val="294" w:hRule="atLeast"/>
        </w:trPr>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f7f7f6"/>
            <w:tcMar>
              <w:top w:type="dxa" w:w="80"/>
              <w:left w:type="dxa" w:w="80"/>
              <w:bottom w:type="dxa" w:w="80"/>
              <w:right w:type="dxa" w:w="80"/>
            </w:tcMar>
            <w:vAlign w:val="top"/>
          </w:tcPr>
          <w:p/>
        </w:tc>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f7f7f6"/>
            <w:tcMar>
              <w:top w:type="dxa" w:w="80"/>
              <w:left w:type="dxa" w:w="80"/>
              <w:bottom w:type="dxa" w:w="80"/>
              <w:right w:type="dxa" w:w="80"/>
            </w:tcMar>
            <w:vAlign w:val="top"/>
          </w:tcPr>
          <w:p/>
        </w:tc>
      </w:tr>
      <w:tr>
        <w:tblPrEx>
          <w:shd w:val="clear" w:color="auto" w:fill="auto"/>
        </w:tblPrEx>
        <w:trPr>
          <w:trHeight w:val="294" w:hRule="atLeast"/>
        </w:trPr>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auto"/>
            <w:tcMar>
              <w:top w:type="dxa" w:w="80"/>
              <w:left w:type="dxa" w:w="80"/>
              <w:bottom w:type="dxa" w:w="80"/>
              <w:right w:type="dxa" w:w="80"/>
            </w:tcMar>
            <w:vAlign w:val="top"/>
          </w:tcPr>
          <w:p/>
        </w:tc>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94" w:hRule="atLeast"/>
        </w:trPr>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f7f7f6"/>
            <w:tcMar>
              <w:top w:type="dxa" w:w="80"/>
              <w:left w:type="dxa" w:w="80"/>
              <w:bottom w:type="dxa" w:w="80"/>
              <w:right w:type="dxa" w:w="80"/>
            </w:tcMar>
            <w:vAlign w:val="top"/>
          </w:tcPr>
          <w:p/>
        </w:tc>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f7f7f6"/>
            <w:tcMar>
              <w:top w:type="dxa" w:w="80"/>
              <w:left w:type="dxa" w:w="80"/>
              <w:bottom w:type="dxa" w:w="80"/>
              <w:right w:type="dxa" w:w="80"/>
            </w:tcMar>
            <w:vAlign w:val="top"/>
          </w:tcPr>
          <w:p/>
        </w:tc>
      </w:tr>
      <w:tr>
        <w:tblPrEx>
          <w:shd w:val="clear" w:color="auto" w:fill="auto"/>
        </w:tblPrEx>
        <w:trPr>
          <w:trHeight w:val="294" w:hRule="atLeast"/>
        </w:trPr>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auto"/>
            <w:tcMar>
              <w:top w:type="dxa" w:w="80"/>
              <w:left w:type="dxa" w:w="80"/>
              <w:bottom w:type="dxa" w:w="80"/>
              <w:right w:type="dxa" w:w="80"/>
            </w:tcMar>
            <w:vAlign w:val="top"/>
          </w:tcPr>
          <w:p/>
        </w:tc>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94" w:hRule="atLeast"/>
        </w:trPr>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f7f7f6"/>
            <w:tcMar>
              <w:top w:type="dxa" w:w="80"/>
              <w:left w:type="dxa" w:w="80"/>
              <w:bottom w:type="dxa" w:w="80"/>
              <w:right w:type="dxa" w:w="80"/>
            </w:tcMar>
            <w:vAlign w:val="top"/>
          </w:tcPr>
          <w:p/>
        </w:tc>
        <w:tc>
          <w:tcPr>
            <w:tcW w:type="dxa" w:w="4675"/>
            <w:tcBorders>
              <w:top w:val="single" w:color="929292" w:sz="4" w:space="0" w:shadow="0" w:frame="0"/>
              <w:left w:val="single" w:color="929292" w:sz="4" w:space="0" w:shadow="0" w:frame="0"/>
              <w:bottom w:val="single" w:color="929292" w:sz="4" w:space="0" w:shadow="0" w:frame="0"/>
              <w:right w:val="single" w:color="929292" w:sz="4" w:space="0" w:shadow="0" w:frame="0"/>
            </w:tcBorders>
            <w:shd w:val="clear" w:color="auto" w:fill="f7f7f6"/>
            <w:tcMar>
              <w:top w:type="dxa" w:w="80"/>
              <w:left w:type="dxa" w:w="80"/>
              <w:bottom w:type="dxa" w:w="80"/>
              <w:right w:type="dxa" w:w="80"/>
            </w:tcMar>
            <w:vAlign w:val="top"/>
          </w:tcPr>
          <w:p/>
        </w:tc>
      </w:tr>
    </w:tbl>
    <w:p>
      <w:pPr>
        <w:pStyle w:val="Body"/>
        <w:jc w:val="left"/>
        <w:rPr>
          <w:rFonts w:ascii="Arial" w:cs="Arial" w:hAnsi="Arial" w:eastAsia="Arial"/>
          <w:b w:val="1"/>
          <w:bCs w:val="1"/>
          <w:sz w:val="24"/>
          <w:szCs w:val="24"/>
        </w:rPr>
      </w:pPr>
    </w:p>
    <w:p>
      <w:pPr>
        <w:pStyle w:val="Body"/>
        <w:numPr>
          <w:ilvl w:val="1"/>
          <w:numId w:val="2"/>
        </w:numPr>
        <w:jc w:val="left"/>
        <w:rPr>
          <w:rFonts w:ascii="Arial" w:hAnsi="Arial"/>
          <w:sz w:val="24"/>
          <w:szCs w:val="24"/>
          <w:lang w:val="en-US"/>
        </w:rPr>
      </w:pPr>
      <w:r>
        <w:rPr>
          <w:rFonts w:ascii="Arial" w:hAnsi="Arial"/>
          <w:b w:val="1"/>
          <w:bCs w:val="1"/>
          <w:sz w:val="24"/>
          <w:szCs w:val="24"/>
          <w:rtl w:val="0"/>
          <w:lang w:val="en-US"/>
        </w:rPr>
        <w:t>Jeremiah 31:31-34; Heb. 8:1-13; 10:1-18</w:t>
      </w:r>
    </w:p>
    <w:p>
      <w:pPr>
        <w:pStyle w:val="Body"/>
        <w:numPr>
          <w:ilvl w:val="2"/>
          <w:numId w:val="2"/>
        </w:numPr>
        <w:jc w:val="left"/>
        <w:rPr>
          <w:rFonts w:ascii="Arial" w:hAnsi="Arial"/>
          <w:sz w:val="24"/>
          <w:szCs w:val="24"/>
          <w:lang w:val="en-US"/>
        </w:rPr>
      </w:pPr>
      <w:r>
        <w:rPr>
          <w:rFonts w:ascii="Arial" w:hAnsi="Arial"/>
          <w:sz w:val="24"/>
          <w:szCs w:val="24"/>
          <w:rtl w:val="0"/>
          <w:lang w:val="en-US"/>
        </w:rPr>
        <w:t>Take note of the contrasts in these verses which make it clear there are two distinct covenants, one of which is binding on Christians today.</w:t>
      </w:r>
    </w:p>
    <w:tbl>
      <w:tblPr>
        <w:tblW w:w="9353"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4676"/>
        <w:gridCol w:w="4677"/>
      </w:tblGrid>
      <w:tr>
        <w:tblPrEx>
          <w:shd w:val="clear" w:color="auto" w:fill="auto"/>
        </w:tblPrEx>
        <w:trPr>
          <w:trHeight w:val="295" w:hRule="atLeast"/>
        </w:trPr>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95" w:hRule="atLeast"/>
        </w:trPr>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r>
      <w:tr>
        <w:tblPrEx>
          <w:shd w:val="clear" w:color="auto" w:fill="auto"/>
        </w:tblPrEx>
        <w:trPr>
          <w:trHeight w:val="295" w:hRule="atLeast"/>
        </w:trPr>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95" w:hRule="atLeast"/>
        </w:trPr>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r>
      <w:tr>
        <w:tblPrEx>
          <w:shd w:val="clear" w:color="auto" w:fill="auto"/>
        </w:tblPrEx>
        <w:trPr>
          <w:trHeight w:val="295" w:hRule="atLeast"/>
        </w:trPr>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95" w:hRule="atLeast"/>
        </w:trPr>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r>
      <w:tr>
        <w:tblPrEx>
          <w:shd w:val="clear" w:color="auto" w:fill="auto"/>
        </w:tblPrEx>
        <w:trPr>
          <w:trHeight w:val="295" w:hRule="atLeast"/>
        </w:trPr>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95" w:hRule="atLeast"/>
        </w:trPr>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c>
          <w:tcPr>
            <w:tcW w:type="dxa" w:w="4676"/>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r>
    </w:tbl>
    <w:p>
      <w:pPr>
        <w:pStyle w:val="Body"/>
        <w:numPr>
          <w:ilvl w:val="2"/>
          <w:numId w:val="2"/>
        </w:numPr>
        <w:jc w:val="left"/>
        <w:rPr>
          <w:rFonts w:ascii="Arial" w:cs="Arial" w:hAnsi="Arial" w:eastAsia="Arial"/>
          <w:sz w:val="24"/>
          <w:szCs w:val="24"/>
        </w:rPr>
      </w:pPr>
    </w:p>
    <w:p>
      <w:pPr>
        <w:pStyle w:val="Body"/>
        <w:numPr>
          <w:ilvl w:val="0"/>
          <w:numId w:val="2"/>
        </w:numPr>
        <w:jc w:val="left"/>
        <w:rPr>
          <w:rFonts w:ascii="Arial" w:hAnsi="Arial"/>
          <w:sz w:val="24"/>
          <w:szCs w:val="24"/>
          <w:lang w:val="en-US"/>
        </w:rPr>
      </w:pPr>
      <w:r>
        <w:rPr>
          <w:rFonts w:ascii="Arial" w:hAnsi="Arial"/>
          <w:b w:val="1"/>
          <w:bCs w:val="1"/>
          <w:sz w:val="24"/>
          <w:szCs w:val="24"/>
          <w:rtl w:val="0"/>
          <w:lang w:val="en-US"/>
        </w:rPr>
        <w:t>The Law of Moses &amp; Law of God Is One and the Same Law That Has Been Done Away</w:t>
      </w:r>
    </w:p>
    <w:p>
      <w:pPr>
        <w:pStyle w:val="Body"/>
        <w:numPr>
          <w:ilvl w:val="1"/>
          <w:numId w:val="2"/>
        </w:numPr>
        <w:jc w:val="left"/>
        <w:rPr>
          <w:rFonts w:ascii="Arial" w:hAnsi="Arial"/>
          <w:sz w:val="24"/>
          <w:szCs w:val="24"/>
          <w:lang w:val="en-US"/>
        </w:rPr>
      </w:pPr>
      <w:r>
        <w:rPr>
          <w:rFonts w:ascii="Arial" w:hAnsi="Arial"/>
          <w:sz w:val="24"/>
          <w:szCs w:val="24"/>
          <w:rtl w:val="0"/>
          <w:lang w:val="en-US"/>
        </w:rPr>
        <w:t>The argument made by some who seek to keep part of the Old Covenant</w:t>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The </w:t>
      </w:r>
      <w:r>
        <w:rPr>
          <w:rFonts w:ascii="Arial" w:hAnsi="Arial" w:hint="default"/>
          <w:sz w:val="24"/>
          <w:szCs w:val="24"/>
          <w:rtl w:val="0"/>
          <w:lang w:val="en-US"/>
        </w:rPr>
        <w:t>“</w:t>
      </w:r>
      <w:r>
        <w:rPr>
          <w:rFonts w:ascii="Arial" w:hAnsi="Arial"/>
          <w:sz w:val="24"/>
          <w:szCs w:val="24"/>
          <w:rtl w:val="0"/>
          <w:lang w:val="en-US"/>
        </w:rPr>
        <w:t>ceremonial law</w:t>
      </w:r>
      <w:r>
        <w:rPr>
          <w:rFonts w:ascii="Arial" w:hAnsi="Arial" w:hint="default"/>
          <w:sz w:val="24"/>
          <w:szCs w:val="24"/>
          <w:rtl w:val="0"/>
          <w:lang w:val="en-US"/>
        </w:rPr>
        <w:t xml:space="preserve">” </w:t>
      </w:r>
      <w:r>
        <w:rPr>
          <w:rFonts w:ascii="Arial" w:hAnsi="Arial"/>
          <w:sz w:val="24"/>
          <w:szCs w:val="24"/>
          <w:rtl w:val="0"/>
          <w:lang w:val="en-US"/>
        </w:rPr>
        <w:t xml:space="preserve">or the </w:t>
      </w:r>
      <w:r>
        <w:rPr>
          <w:rFonts w:ascii="Arial" w:hAnsi="Arial" w:hint="default"/>
          <w:sz w:val="24"/>
          <w:szCs w:val="24"/>
          <w:rtl w:val="0"/>
          <w:lang w:val="en-US"/>
        </w:rPr>
        <w:t>“</w:t>
      </w:r>
      <w:r>
        <w:rPr>
          <w:rFonts w:ascii="Arial" w:hAnsi="Arial"/>
          <w:sz w:val="24"/>
          <w:szCs w:val="24"/>
          <w:rtl w:val="0"/>
          <w:lang w:val="en-US"/>
        </w:rPr>
        <w:t>Law of Moses</w:t>
      </w:r>
      <w:r>
        <w:rPr>
          <w:rFonts w:ascii="Arial" w:hAnsi="Arial" w:hint="default"/>
          <w:sz w:val="24"/>
          <w:szCs w:val="24"/>
          <w:rtl w:val="0"/>
          <w:lang w:val="en-US"/>
        </w:rPr>
        <w:t xml:space="preserve">” </w:t>
      </w:r>
      <w:r>
        <w:rPr>
          <w:rFonts w:ascii="Arial" w:hAnsi="Arial"/>
          <w:sz w:val="24"/>
          <w:szCs w:val="24"/>
          <w:rtl w:val="0"/>
          <w:lang w:val="en-US"/>
        </w:rPr>
        <w:t>was done away with (including the sacrifices, feats, temple worship, circumcision, dietary restrictions, etc.).</w:t>
      </w:r>
    </w:p>
    <w:p>
      <w:pPr>
        <w:pStyle w:val="Body"/>
        <w:numPr>
          <w:ilvl w:val="2"/>
          <w:numId w:val="2"/>
        </w:numPr>
        <w:jc w:val="left"/>
        <w:rPr>
          <w:rFonts w:ascii="Arial" w:hAnsi="Arial"/>
          <w:sz w:val="24"/>
          <w:szCs w:val="24"/>
          <w:lang w:val="en-US"/>
        </w:rPr>
      </w:pPr>
      <w:r>
        <w:rPr>
          <w:rFonts w:ascii="Arial" w:hAnsi="Arial"/>
          <w:sz w:val="24"/>
          <w:szCs w:val="24"/>
          <w:rtl w:val="0"/>
          <w:lang w:val="en-US"/>
        </w:rPr>
        <w:t xml:space="preserve">However, the </w:t>
      </w:r>
      <w:r>
        <w:rPr>
          <w:rFonts w:ascii="Arial" w:hAnsi="Arial" w:hint="default"/>
          <w:sz w:val="24"/>
          <w:szCs w:val="24"/>
          <w:rtl w:val="0"/>
          <w:lang w:val="en-US"/>
        </w:rPr>
        <w:t>“</w:t>
      </w:r>
      <w:r>
        <w:rPr>
          <w:rFonts w:ascii="Arial" w:hAnsi="Arial"/>
          <w:sz w:val="24"/>
          <w:szCs w:val="24"/>
          <w:rtl w:val="0"/>
          <w:lang w:val="en-US"/>
        </w:rPr>
        <w:t>moral law</w:t>
      </w:r>
      <w:r>
        <w:rPr>
          <w:rFonts w:ascii="Arial" w:hAnsi="Arial" w:hint="default"/>
          <w:sz w:val="24"/>
          <w:szCs w:val="24"/>
          <w:rtl w:val="0"/>
          <w:lang w:val="en-US"/>
        </w:rPr>
        <w:t xml:space="preserve">” </w:t>
      </w:r>
      <w:r>
        <w:rPr>
          <w:rFonts w:ascii="Arial" w:hAnsi="Arial"/>
          <w:sz w:val="24"/>
          <w:szCs w:val="24"/>
          <w:rtl w:val="0"/>
          <w:lang w:val="en-US"/>
        </w:rPr>
        <w:t xml:space="preserve">or </w:t>
      </w:r>
      <w:r>
        <w:rPr>
          <w:rFonts w:ascii="Arial" w:hAnsi="Arial" w:hint="default"/>
          <w:sz w:val="24"/>
          <w:szCs w:val="24"/>
          <w:rtl w:val="0"/>
          <w:lang w:val="en-US"/>
        </w:rPr>
        <w:t>“</w:t>
      </w:r>
      <w:r>
        <w:rPr>
          <w:rFonts w:ascii="Arial" w:hAnsi="Arial"/>
          <w:sz w:val="24"/>
          <w:szCs w:val="24"/>
          <w:rtl w:val="0"/>
          <w:lang w:val="en-US"/>
        </w:rPr>
        <w:t>Law of God</w:t>
      </w:r>
      <w:r>
        <w:rPr>
          <w:rFonts w:ascii="Arial" w:hAnsi="Arial" w:hint="default"/>
          <w:sz w:val="24"/>
          <w:szCs w:val="24"/>
          <w:rtl w:val="0"/>
          <w:lang w:val="en-US"/>
        </w:rPr>
        <w:t xml:space="preserve">” </w:t>
      </w:r>
      <w:r>
        <w:rPr>
          <w:rFonts w:ascii="Arial" w:hAnsi="Arial"/>
          <w:sz w:val="24"/>
          <w:szCs w:val="24"/>
          <w:rtl w:val="0"/>
          <w:lang w:val="en-US"/>
        </w:rPr>
        <w:t xml:space="preserve">remains and is still binding (i.e. the 10 Commandments are binding on Christians). </w:t>
      </w:r>
    </w:p>
    <w:p>
      <w:pPr>
        <w:pStyle w:val="Body"/>
        <w:numPr>
          <w:ilvl w:val="1"/>
          <w:numId w:val="2"/>
        </w:numPr>
        <w:jc w:val="left"/>
        <w:rPr>
          <w:rFonts w:ascii="Arial" w:hAnsi="Arial"/>
          <w:sz w:val="24"/>
          <w:szCs w:val="24"/>
          <w:lang w:val="en-US"/>
        </w:rPr>
      </w:pPr>
      <w:r>
        <w:rPr>
          <w:rFonts w:ascii="Arial" w:hAnsi="Arial"/>
          <w:sz w:val="24"/>
          <w:szCs w:val="24"/>
          <w:rtl w:val="0"/>
          <w:lang w:val="en-US"/>
        </w:rPr>
        <w:t>No such distinction is made in Scriptures</w:t>
      </w:r>
    </w:p>
    <w:p>
      <w:pPr>
        <w:pStyle w:val="Body"/>
        <w:numPr>
          <w:ilvl w:val="1"/>
          <w:numId w:val="2"/>
        </w:numPr>
        <w:jc w:val="left"/>
        <w:rPr>
          <w:rFonts w:ascii="Arial" w:hAnsi="Arial"/>
          <w:sz w:val="24"/>
          <w:szCs w:val="24"/>
          <w:lang w:val="en-US"/>
        </w:rPr>
      </w:pPr>
      <w:r>
        <w:rPr>
          <w:rFonts w:ascii="Arial" w:hAnsi="Arial"/>
          <w:sz w:val="24"/>
          <w:szCs w:val="24"/>
          <w:rtl w:val="0"/>
          <w:lang w:val="en-US"/>
        </w:rPr>
        <w:t>Law of God and Law of Moses are used interchangeably throughout the scripture (</w:t>
      </w:r>
      <w:r>
        <w:rPr>
          <w:rFonts w:ascii="Arial" w:hAnsi="Arial"/>
          <w:b w:val="1"/>
          <w:bCs w:val="1"/>
          <w:sz w:val="24"/>
          <w:szCs w:val="24"/>
          <w:rtl w:val="0"/>
          <w:lang w:val="en-US"/>
        </w:rPr>
        <w:t>2 Chron. 31:3; 2 Chron. 34:14-15; Ezra 7:6, 10, 12; Neh. 8:1-2, 8, 14, 18; Neh. 10:29; Mark 7:10; Luke 2:22-24, 39</w:t>
      </w:r>
      <w:r>
        <w:rPr>
          <w:rFonts w:ascii="Arial" w:hAnsi="Arial"/>
          <w:sz w:val="24"/>
          <w:szCs w:val="24"/>
          <w:rtl w:val="0"/>
          <w:lang w:val="en-US"/>
        </w:rPr>
        <w:t>)</w:t>
      </w:r>
    </w:p>
    <w:p>
      <w:pPr>
        <w:pStyle w:val="Body"/>
        <w:numPr>
          <w:ilvl w:val="1"/>
          <w:numId w:val="2"/>
        </w:numPr>
        <w:jc w:val="left"/>
        <w:rPr>
          <w:rFonts w:ascii="Arial" w:hAnsi="Arial"/>
          <w:sz w:val="24"/>
          <w:szCs w:val="24"/>
          <w:lang w:val="en-US"/>
        </w:rPr>
      </w:pPr>
      <w:r>
        <w:rPr>
          <w:rFonts w:ascii="Arial" w:hAnsi="Arial"/>
          <w:sz w:val="24"/>
          <w:szCs w:val="24"/>
          <w:rtl w:val="0"/>
          <w:lang w:val="en-US"/>
        </w:rPr>
        <w:t>One Law is mentioned repeatedly in reference to the Old Testament</w:t>
      </w:r>
    </w:p>
    <w:p>
      <w:pPr>
        <w:pStyle w:val="Body"/>
        <w:jc w:val="left"/>
        <w:rPr>
          <w:rFonts w:ascii="Arial" w:cs="Arial" w:hAnsi="Arial" w:eastAsia="Arial"/>
          <w:sz w:val="24"/>
          <w:szCs w:val="24"/>
        </w:rPr>
      </w:pPr>
      <w:r>
        <w:rPr>
          <w:rFonts w:ascii="Arial" w:cs="Arial" w:hAnsi="Arial" w:eastAsia="Arial"/>
          <w:sz w:val="24"/>
          <w:szCs w:val="24"/>
        </w:rPr>
        <w:br w:type="textWrapping"/>
      </w:r>
    </w:p>
    <w:p>
      <w:pPr>
        <w:pStyle w:val="Body"/>
        <w:jc w:val="left"/>
      </w:pPr>
      <w:r>
        <w:rPr>
          <w:rFonts w:ascii="Arial" w:hAnsi="Arial"/>
          <w:sz w:val="24"/>
          <w:szCs w:val="24"/>
          <w:rtl w:val="0"/>
          <w:lang w:val="en-US"/>
        </w:rPr>
        <w:t xml:space="preserve">In a future study, Lord willing, we will consider two more points relating to our relationship with the law. 1) What are the consequences if we seek to go back and keep part of the Old Law? 2) What then should we do with the Old Law, what is the benefit of spending time studying it today? </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60"/>
        <w:tab w:val="clear" w:pos="9020"/>
      </w:tabs>
      <w:jc w:val="left"/>
    </w:pPr>
    <w:r>
      <w:tab/>
    </w:r>
    <w:r>
      <w:rPr>
        <w:rtl w:val="0"/>
        <w:lang w:val="en-US"/>
      </w:rPr>
      <w:t>5PM Class - February 15, 2026</w:t>
    </w:r>
    <w:r>
      <w:tab/>
    </w:r>
    <w:r>
      <w:rPr>
        <w:rtl w:val="0"/>
        <w:lang w:val="en-US"/>
      </w:rPr>
      <w:t xml:space="preserve">Page </w:t>
    </w:r>
    <w:r>
      <w:rPr/>
      <w:fldChar w:fldCharType="begin" w:fldLock="0"/>
    </w:r>
    <w:r>
      <w:instrText xml:space="preserve"> PAGE </w:instrText>
    </w:r>
    <w:r>
      <w:rPr/>
      <w:fldChar w:fldCharType="separate" w:fldLock="0"/>
    </w:r>
    <w:r/>
    <w:r>
      <w:rPr/>
      <w:fldChar w:fldCharType="end" w:fldLock="0"/>
    </w:r>
    <w:r>
      <w:rPr>
        <w:rtl w:val="0"/>
        <w:lang w:val="en-US"/>
      </w:rPr>
      <w:t xml:space="preserve"> of </w:t>
    </w:r>
    <w:r>
      <w:rPr/>
      <w:fldChar w:fldCharType="begin" w:fldLock="0"/>
    </w:r>
    <w:r>
      <w:instrText xml:space="preserve"> NUMPAGES </w:instrText>
    </w:r>
    <w:r>
      <w:rPr/>
      <w:fldChar w:fldCharType="separate" w:fldLock="0"/>
    </w:r>
    <w:r/>
    <w:r>
      <w:rPr/>
      <w:fldChar w:fldCharType="end" w:fldLock="0"/>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Harvard"/>
  </w:abstractNum>
  <w:abstractNum w:abstractNumId="1">
    <w:multiLevelType w:val="hybridMultilevel"/>
    <w:styleLink w:val="Harvard"/>
    <w:lvl w:ilvl="0">
      <w:start w:val="1"/>
      <w:numFmt w:val="upperRoman"/>
      <w:suff w:val="tab"/>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upperLetter"/>
      <w:suff w:val="tab"/>
      <w:lvlText w:val="%2."/>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Letter"/>
      <w:suff w:val="tab"/>
      <w:lvlText w:val="%4)"/>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Letter"/>
      <w:suff w:val="tab"/>
      <w:lvlText w:val="(%6)"/>
      <w:lvlJc w:val="left"/>
      <w:pPr>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lowerRoman"/>
      <w:suff w:val="tab"/>
      <w:lvlText w:val="%7)"/>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Letter"/>
      <w:suff w:val="tab"/>
      <w:lvlText w:val="(%9)"/>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numbering" w:styleId="Harvard">
    <w:name w:val="Harvard"/>
    <w:pPr>
      <w:numPr>
        <w:numId w:val="1"/>
      </w:numPr>
    </w:pPr>
  </w:style>
  <w:style w:type="paragraph" w:styleId="Table Style 2">
    <w:name w:val="Table Style 2"/>
    <w:next w:val="Table Style 2"/>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0"/>
      <w:szCs w:val="20"/>
      <w:u w:val="none"/>
      <w:shd w:val="nil" w:color="auto" w:fill="auto"/>
      <w:vertAlign w:val="baselin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